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color w:val="auto"/>
          <w:sz w:val="44"/>
          <w:szCs w:val="44"/>
          <w:lang w:val="en-US" w:eastAsia="zh-CN"/>
        </w:rPr>
      </w:pPr>
      <w:bookmarkStart w:id="0" w:name="_Toc529604795"/>
      <w:r>
        <w:rPr>
          <w:rFonts w:hint="eastAsia" w:ascii="华文中宋" w:hAnsi="华文中宋" w:eastAsia="华文中宋" w:cs="华文中宋"/>
          <w:b/>
          <w:bCs w:val="0"/>
          <w:color w:val="auto"/>
          <w:sz w:val="44"/>
          <w:szCs w:val="44"/>
          <w:lang w:eastAsia="zh-CN"/>
        </w:rPr>
        <w:t>衡阳技师学院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44"/>
          <w:szCs w:val="44"/>
        </w:rPr>
        <w:t>财务预算</w:t>
      </w:r>
      <w:r>
        <w:rPr>
          <w:rFonts w:hint="eastAsia" w:ascii="华文中宋" w:hAnsi="华文中宋" w:eastAsia="华文中宋" w:cs="华文中宋"/>
          <w:b/>
          <w:bCs w:val="0"/>
          <w:color w:val="auto"/>
          <w:sz w:val="44"/>
          <w:szCs w:val="44"/>
          <w:lang w:val="en-US" w:eastAsia="zh-CN"/>
        </w:rPr>
        <w:t>管理</w:t>
      </w:r>
      <w:bookmarkEnd w:id="0"/>
      <w:r>
        <w:rPr>
          <w:rFonts w:hint="eastAsia" w:ascii="华文中宋" w:hAnsi="华文中宋" w:eastAsia="华文中宋" w:cs="华文中宋"/>
          <w:b/>
          <w:bCs w:val="0"/>
          <w:color w:val="auto"/>
          <w:sz w:val="44"/>
          <w:szCs w:val="44"/>
          <w:lang w:val="en-US" w:eastAsia="zh-CN"/>
        </w:rPr>
        <w:t>办法</w:t>
      </w:r>
    </w:p>
    <w:p>
      <w:pPr>
        <w:rPr>
          <w:rFonts w:hint="eastAsia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pacing w:beforeAutospacing="0"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（衡阳技师学院《财务预（决）算制度》于2018年5月第一次修订，2021年1月第二次修订，2023年9月第三次修订并变更为《衡阳技师学院财务预算管理办法》和《衡阳技师学院财务报告编制管理办法》）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第一章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总则</w:t>
      </w:r>
    </w:p>
    <w:p>
      <w:pPr>
        <w:pStyle w:val="7"/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为进一步加强学院预算管理，优化资源配置，强化预算约束，发挥资金使用效益，保障事业发展规划和年度重点工作计划的贯彻实施，促进学院可持续发展，根据《中华人民共和国预算法》（2018年修正）《中华人民共和国预算法实施条例》（国令〔2020〕第729号）《政府会计准则》（财政部令〔2017〕第78号）《政府会计制度》（财会〔2017〕25号）及《高等学校财务制度》（财教〔2022〕128号）等相关法律法规，结合学院实际，修订本办法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本办法所称预算，指学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根据事业发展规划和任务编制的年度财务收支计划，包括收入预算和支出预算。预算管理包括预算的编制、审批、执行、调整、追加、评价和监督等。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财务预算管理的目标与任务：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（一）多渠道筹集资金，确保各项收入计划的落实。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（二）科学、合理地分配与调度资金。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（三）优化资金结构，提高资金使用绩效。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（四）实现学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收支平衡，防范和化解财务风险。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第四条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预算年度自公历1月1日起至12月31日止。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预算收入和预算支出以人民币元为计算单位。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第二章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预算管理体制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学院预算管理实行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“统一领导、分级管理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体制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院长办公会、职代会、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党委会是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预算管理的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审议和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决策机构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院长办公会负责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确定学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预算编制的方针和原则；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审议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年度经费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草案以及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预算调整方案。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职代会负责对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年度经费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草案提出修改意见和建议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党委会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负责审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预算管理的规章制度；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审定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年度经费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草案以及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预算调整方案。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第七条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财务处是学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预算管理职能部门，负责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起草和修订学院预算管理相关制度、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编制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方案、预算调整方案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年度预算草案以及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监督预算执行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、预算绩效评价、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预算信息公开。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各二级学院、职能部门是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预算的具体实施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，负责本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预算编制、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预算调整申请、预算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执行和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绩效评价，对本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资金使用的真实性和合规性负责。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第三章　预算收支范围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预算由预算收入和预算支出组成。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</w:rPr>
        <w:t>预算收入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包括：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800" w:firstLineChars="25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（一）财政拨款预算收入，即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从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市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级财政部门取得的各类财政拨款。包括：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1.财政教育拨款，即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级财政部门取得的各类财政教育拨款。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2.财政科研拨款，即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级财政部门取得的各类财政科研拨款。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3.财政其他拨款，即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级财政部门取得的本条上述拨款范围以外的财政拨款。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（二）事业预算收入，即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开展教学、科研及其辅助活动取得的收入。包括：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1.教育事业收入，指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开展教学及辅助活动取得的收入，包括通过学历和非学历教育收取的学费、住宿费、培训费、考务费等。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2.科研事业收入，指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开展科学研究、开发及辅助活动所取得的收入。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（三）上级补助预算收入，即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从主管部门和上级单位取得的非财政补助收入。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（四）附属单位上缴预算收入，即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附属独立核算单位按照有关规定上缴的收入。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（五）经营预算收入，即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在教学、科研及其辅助活动之外，开展非独立核算经营活动取得的收入。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（六）其他预算收入，即本条上述规定范围以外的各项收入，包括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融资收入、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投资收益、利息收入、租金收入等。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第十条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预算支出包括基本支出和项目支出。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基本支出是为保障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正常运转、完成日常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教学与管理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工作任务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所必须的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支出。包括：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人员经费支出。包括在职人员经费（工资、绩效、社会保险、住房公积金等）、离退休人员生活补贴、学生奖助学金等。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公用经费支出。公用经费是指用于保障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正常运转的各类维持性经费。包括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公用水电费、利息、会议经费等。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contextualSpacing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部门经费支出。部门经费包括部门日常运行经费和部门专项经费。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经费是指各部门为保障其机构正常运转、完成日常工作任务而发生的费用。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是指各职能部门用于完成专门业务所发生的相关费用。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（二）项目支出是指由学院党委或上级主管部门审批立项的项目建设专项、有专项经费来源以及特定工作任务支出。包括：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中央、省、市财政支持地方职业学院发展专项、基础能力建设专项、基建工程、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大型修缮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工程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、大型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设施设备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购置、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信息化建设专项、优质校和优质专业建设专项、重大科研项目专项以及有专项经费来源的承接考试、承办竞赛和专项融资等项目支出。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章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预算编制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与审核</w:t>
      </w:r>
    </w:p>
    <w:p>
      <w:pPr>
        <w:pStyle w:val="4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723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第十一条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预算编制坚持“量入为出、收支平衡”的总原则和“全员、全范围、全过程”的全面预算原则，将学院的全部收支统一纳入学院年度财务预算，不得编制赤字预算。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条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事业发展规划为依据，以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事业发展年度计划为目标，参考以前年度预算执行情况、绩效评价结果和当年收支预测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结果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进行编制。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收入预算的编制，应遵循积极稳健的原则。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支出预算的编制，应遵循统筹兼顾、勤俭节约、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量力而行、保障民生、保证重点、收支平衡、讲求绩效的原则。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应建立健全以项目库为源头的预算管理机制。将预算项目作为预算管理的基本单元，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实行项目库管理，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构建预算项目前期谋划、项目储备、预算编制、项目实施、项目结束和终止等各阶段全生命周期的管理机制。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第十六条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提前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对项目的必要性、方案的可行性以及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的合理性等进行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充分的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科学论证，对项目实施进行风险评估，必要时应请相关专家进行论证和评估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；并在申报项目预算支出的同时编报项目预算支出绩效目标。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 xml:space="preserve">第十七条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学院所有项目支出都应纳入项目库管理，并按照项目的轻重缓急滚动排序纳入年度预算。坚持“先有项目后有预算”“资金跟着项目走、项目跟着规划走”的原则，未纳入项目库的项目一律不安排资金支出。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 xml:space="preserve">第十七条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经费预算编制实行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含二级学院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编制、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学院统筹；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下达、归口管理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分项使用、分类控制。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职能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二级学院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实行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专人管理、专人报账，建立支出台账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年度分类汇总。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2.院领导费用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“三公经费”、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职能部门办公用品、差旅费、文印费、报刊杂志征订费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等归口党政办公室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工资、福利、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绩效（含课时费、班主任和辅导员费）、奖金、津贴补贴、五险一金、离退休人员补助、劳务派遣人员及临聘人员劳务费、人才引进费、党务活动费等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人事处。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4.限额以上的物资采购、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办公设施设备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公共设施设备购置归口资产管理处。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保险费、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奖助学金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预征预储专项经费等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教材与印刷品购置、省级及以上技能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竞赛经费归口教务处。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.基建、维修、规费、水电等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基建处和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保卫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.招生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就业经费、校企合作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就业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市内交通费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归口计划财务处。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.学术交流、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纵向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申报与建设专项经费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教科研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成果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奖励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归口发展规划处。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.广告宣传费归口宣传统战部管理。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12.实训工具与耗材采购费归口实训中心。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.二级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学院归口经费参照《校院两级财务管理实施细则》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十八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预算原则上按照预算支出额的1％-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%设置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院长基金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，用于当年预算执行中难以预见的支出。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第十九条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按照分级编制、逐级汇总的程序，科学、及时编制年度预算草案。按照“二上二下”程序编制，分四个阶段进行。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“一上预算”：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编制本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收支全面预算，撰写预算说明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提交计划财务处汇总统筹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“一下预算”：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财务处汇总分析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申报的预算，编制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总体预算初步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案。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组织召开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总体预算初步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研讨会，在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听取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编制意见后，明确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预算控制数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并提请院长办公会审议通过后，将预算控制数下发给各职能部门、二级学院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“二上预算”：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院在“一下”控制数内，分项目和经济科目细化、优化经费预算，归口管理部门负责对专项经费预算组织专门论证和统筹后，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各职能部门、二级学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院将细化、优化的经费预算报计划财务处汇总统筹。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“二下预算”：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计划财务处汇总分析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“二上预算”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后编制学院年度财务综合预算草案，报院长办公会、职代会审议，党委会审定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后下发。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 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于每年3月份启动项目库论证工作，每年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月份启动下一年度预算草案编制工作，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职能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部门、二级学院应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按照规定的时间完成预算上报工作，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财务处及时完成编制预算草案，提交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审议。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章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预算执行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党委会批准的预算，各职能部门和二级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学院应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按党委会的批复意见严格执行，不得擅自改变或调整预算安排。如因不可抗拒原因确需增加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和调整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预算支出的，应按规定程序进行预算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追加和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调整的报批。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各职能部门和二级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是预算执行的责任主体，具体负责本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部门、本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归口管理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的预算执行，并对执行结果负责。预算执行任务完成情况将作为各职能部门和二级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年终绩效考核的重要依据。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建立预算执行分析、预警与考核评价机制，定期通报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各部门预算执行情况，召开预算执行分析会议，研究解决预算执行中存在的问题，提出改进措施，提高预算执行的有效性。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学院计划财务处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应依照规定，及时、足额安排预算资金，监督预算执行的进度。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预算年度开始后，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预算草案未获批准前，允许预安排下列支出：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（一）上级主管部门允许结转使用的支出；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（二）参照上一年同期预算额的50%预拨本年度基本运行保障经费；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（三）法律规定必须履行支付义务的支出，以及用于突发事件处理的支出。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章  预算调整与追加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学院每年9月份集中进行一次预算调整与追加。同一预算项目原则上当年只调整一次。未列入年度财务预算的各项收入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，作为预算追加的经费来源。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eastAsia="zh-CN"/>
        </w:rPr>
        <w:t>第二十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在执行预算中出现的新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任务和新变化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，年初预算没有考虑或安排不足时，按下列程序与原则调整预算与追加：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）预算调整与追加申请。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需求部门、二级学院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提出调整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追加预算的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申请，按下列审批权限审批后报计划财务处调整与追加。</w:t>
      </w:r>
    </w:p>
    <w:p>
      <w:pPr>
        <w:pStyle w:val="8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预算调整与追加申请审批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权限（见下表）。</w:t>
      </w:r>
    </w:p>
    <w:p>
      <w:pPr>
        <w:pStyle w:val="8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</w:pPr>
    </w:p>
    <w:tbl>
      <w:tblPr>
        <w:tblStyle w:val="9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2479"/>
        <w:gridCol w:w="4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单项预算调整与追加审批权限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4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调整类别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4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额度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Style w:val="14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审批权限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5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预算内调整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5万元以内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部门（含归口部门）负责人审批，财务处审核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5万元及以上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增加分管财务院领导签批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院长基金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院长签批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5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预算外调整与追加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5万元以内</w:t>
            </w:r>
          </w:p>
        </w:tc>
        <w:tc>
          <w:tcPr>
            <w:tcW w:w="4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部门（含归口部门）负责人审批，财务处审核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5万-10万元</w:t>
            </w:r>
          </w:p>
        </w:tc>
        <w:tc>
          <w:tcPr>
            <w:tcW w:w="4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增加分管财务院领导签批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 xml:space="preserve">10万-30万元 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增加书记、院长签批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30万元及以上</w:t>
            </w:r>
          </w:p>
        </w:tc>
        <w:tc>
          <w:tcPr>
            <w:tcW w:w="2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color w:val="auto"/>
                <w:lang w:val="en-US" w:eastAsia="zh-CN" w:bidi="ar"/>
              </w:rPr>
              <w:t>增加党委会审定</w:t>
            </w:r>
          </w:p>
        </w:tc>
      </w:tr>
    </w:tbl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预算外调整或追加是指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不可预见的原因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（如收入支出发生重大变化、重大项目调整、重大临时性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任务与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突发事件等）需要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对年初预算总额进行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减或追加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事项，预算外追加需要有明确的经费来源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章  经费结转结余管理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>二十七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 xml:space="preserve">条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年终决算前，对年度预算的结余按实事求是的原则进行分类处理：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（一）上级部门安排的专项资金结转结余，按上级要求进行处理。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自有资金安排的专项资金，年末结余经费收回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（三）职能部门年末结余经费收回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4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（四）各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学院运行经费原则上收回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创收收入分成除外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（五）结转经费原则上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每年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只结转一次。</w:t>
      </w:r>
    </w:p>
    <w:p>
      <w:pPr>
        <w:keepNext w:val="0"/>
        <w:keepLines w:val="0"/>
        <w:pageBreakBefore w:val="0"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章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绩效评价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二十八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加强预算绩效管理，建立“预算编制有目标、预算执行有监控、预算完成有评价、评价结果有反馈、反馈结果有应用”的事前、事中、事后全过程预算绩效管理机制。</w:t>
      </w:r>
    </w:p>
    <w:p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预算的绩效评价按照“分类实施，重点突出，注重效率，逐步推进”的原则开展。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二十九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学院计划财务处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负责组织开展绩效评价工作。各职能部门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二级学院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负责按要求完成所分管业务预算执行项目自评报告，并提供绩效评价的相关数据。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预算绩效评价以项目支出为重点，重点评价对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发展战略具有重要影响的项目。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绩效评价主要包括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绩效目标的设定情况；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预决算编制情况；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资金投入和使用情况；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预算管理制度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；绩效目标的实现程度、效果及其他。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三十一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绩效评价结果将作为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以后年度预算安排及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年度考评的重要依据。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章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监督与罚则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第三十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职代会、纪检监察、审计等对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预算进行监督。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第三十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各部门、二级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如有违反国家财政政策的，责令改正，对负有直接责任的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预算执行组织实施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人员和其他直接责任人员追究行政责任；涉嫌严重违纪违法的，移交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纪委和司法机关进行立案查处。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第三十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对预算执行组织实施、监管不力的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部门、二级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依据实际情况调减次年预算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终止项目并收回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剩余资金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并对相关责任人追究责任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shd w:val="clear"/>
        <w:tabs>
          <w:tab w:val="left" w:pos="2670"/>
          <w:tab w:val="center" w:pos="4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第十章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  <w:t>附则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0"/>
        <w:jc w:val="lef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第三十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本办法由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学院计划财务处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负责解释。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三十六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本办法自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发布之日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起施行。原《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财务预（决）算管理制度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》同时废止。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7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BF94B"/>
    <w:multiLevelType w:val="singleLevel"/>
    <w:tmpl w:val="C29BF94B"/>
    <w:lvl w:ilvl="0" w:tentative="0">
      <w:start w:val="15"/>
      <w:numFmt w:val="chineseCounting"/>
      <w:suff w:val="space"/>
      <w:lvlText w:val="第%1条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Y2Y3NGJiYTRmYTNmODUyYzgxMDlhZDkyYWU3MjUifQ=="/>
  </w:docVars>
  <w:rsids>
    <w:rsidRoot w:val="0357321A"/>
    <w:rsid w:val="0357321A"/>
    <w:rsid w:val="03F11C48"/>
    <w:rsid w:val="05372A4D"/>
    <w:rsid w:val="099A664C"/>
    <w:rsid w:val="0A1F0D00"/>
    <w:rsid w:val="0B42127D"/>
    <w:rsid w:val="1019343C"/>
    <w:rsid w:val="180D05FB"/>
    <w:rsid w:val="19282B3B"/>
    <w:rsid w:val="1E0122EC"/>
    <w:rsid w:val="1E6B14F1"/>
    <w:rsid w:val="21BE331D"/>
    <w:rsid w:val="280357C8"/>
    <w:rsid w:val="2CA41238"/>
    <w:rsid w:val="2E8F7376"/>
    <w:rsid w:val="30DD27B3"/>
    <w:rsid w:val="34686A98"/>
    <w:rsid w:val="36334701"/>
    <w:rsid w:val="36AE1696"/>
    <w:rsid w:val="3C6B7F37"/>
    <w:rsid w:val="3D4774EF"/>
    <w:rsid w:val="3DEB1562"/>
    <w:rsid w:val="435D0D8A"/>
    <w:rsid w:val="43C33CB5"/>
    <w:rsid w:val="45E3001F"/>
    <w:rsid w:val="47D465DE"/>
    <w:rsid w:val="48922BBA"/>
    <w:rsid w:val="49E87FEA"/>
    <w:rsid w:val="4A3F66DA"/>
    <w:rsid w:val="4C727E23"/>
    <w:rsid w:val="4D4225B0"/>
    <w:rsid w:val="4F354E0B"/>
    <w:rsid w:val="52E0705E"/>
    <w:rsid w:val="54C5408D"/>
    <w:rsid w:val="55B81234"/>
    <w:rsid w:val="56712AE1"/>
    <w:rsid w:val="583943A8"/>
    <w:rsid w:val="5ABF0264"/>
    <w:rsid w:val="5ABF6C9C"/>
    <w:rsid w:val="5B1449B0"/>
    <w:rsid w:val="5DFA1A88"/>
    <w:rsid w:val="5F5B3959"/>
    <w:rsid w:val="648F21DB"/>
    <w:rsid w:val="65514AF5"/>
    <w:rsid w:val="69C95238"/>
    <w:rsid w:val="6A96258D"/>
    <w:rsid w:val="6C954E9E"/>
    <w:rsid w:val="6F4D7F5B"/>
    <w:rsid w:val="6FFE5369"/>
    <w:rsid w:val="74051040"/>
    <w:rsid w:val="74E62057"/>
    <w:rsid w:val="769C7FAF"/>
    <w:rsid w:val="78061A36"/>
    <w:rsid w:val="7C34705D"/>
    <w:rsid w:val="7E6B1EF0"/>
    <w:rsid w:val="7F21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 Indent"/>
    <w:basedOn w:val="1"/>
    <w:autoRedefine/>
    <w:qFormat/>
    <w:uiPriority w:val="0"/>
    <w:pPr>
      <w:snapToGrid w:val="0"/>
      <w:spacing w:line="440" w:lineRule="exact"/>
      <w:ind w:firstLine="540" w:firstLineChars="225"/>
    </w:pPr>
    <w:rPr>
      <w:rFonts w:ascii="宋体" w:hAnsi="宋体"/>
      <w:sz w:val="24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basedOn w:val="4"/>
    <w:autoRedefine/>
    <w:qFormat/>
    <w:uiPriority w:val="0"/>
    <w:pPr>
      <w:ind w:firstLine="420" w:firstLineChars="200"/>
    </w:p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Emphasis"/>
    <w:basedOn w:val="11"/>
    <w:autoRedefine/>
    <w:qFormat/>
    <w:uiPriority w:val="0"/>
    <w:rPr>
      <w:i/>
    </w:rPr>
  </w:style>
  <w:style w:type="character" w:customStyle="1" w:styleId="14">
    <w:name w:val="font21"/>
    <w:basedOn w:val="11"/>
    <w:autoRedefine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15">
    <w:name w:val="font31"/>
    <w:basedOn w:val="11"/>
    <w:autoRedefine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16">
    <w:name w:val="font41"/>
    <w:basedOn w:val="11"/>
    <w:autoRedefine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2023-08-21T02:46:00Z</dcterms:created>
  <dc:creator>88888</dc:creator>
  <cp:lastModifiedBy>· 多得他</cp:lastModifiedBy>
  <dcterms:modified xsi:type="dcterms:W3CDTF">2024-03-18T02:24:16Z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08DE70F75ADB428292961609F2D75A38_13</vt:lpwstr>
  </property>
</Properties>
</file>